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17647" w14:textId="184FF81D" w:rsidR="00A30EB5" w:rsidRDefault="00A30EB5" w:rsidP="00FC4129">
      <w:pPr>
        <w:rPr>
          <w:rFonts w:ascii="Arial" w:hAnsi="Arial" w:cs="Arial"/>
          <w:color w:val="000000"/>
          <w:lang w:val="en-US"/>
        </w:rPr>
      </w:pPr>
      <w:r>
        <w:rPr>
          <w:rFonts w:ascii="Arial" w:hAnsi="Arial" w:cs="Arial"/>
          <w:color w:val="000000"/>
          <w:lang w:val="en-US"/>
        </w:rPr>
        <w:t>Background to Rule 366 amendment.</w:t>
      </w:r>
    </w:p>
    <w:p w14:paraId="25212823" w14:textId="77777777" w:rsidR="00A30EB5" w:rsidRDefault="00A30EB5" w:rsidP="00FC4129">
      <w:pPr>
        <w:rPr>
          <w:rFonts w:ascii="Arial" w:hAnsi="Arial" w:cs="Arial"/>
          <w:color w:val="000000"/>
          <w:lang w:val="en-US"/>
        </w:rPr>
      </w:pPr>
    </w:p>
    <w:p w14:paraId="178513E7" w14:textId="12205828" w:rsidR="00A30EB5" w:rsidRDefault="00A30EB5" w:rsidP="00FC4129">
      <w:pPr>
        <w:rPr>
          <w:rFonts w:ascii="Arial" w:hAnsi="Arial" w:cs="Arial"/>
          <w:color w:val="000000"/>
          <w:lang w:val="en-US"/>
        </w:rPr>
      </w:pPr>
      <w:r>
        <w:rPr>
          <w:rFonts w:ascii="Arial" w:hAnsi="Arial" w:cs="Arial"/>
          <w:color w:val="000000"/>
          <w:lang w:val="en-US"/>
        </w:rPr>
        <w:t>This amendment is made for greater clarity. It is the past and current interpretation of the APHRC to consider a certificate of positive analysis (a positive test) as a violation.</w:t>
      </w:r>
      <w:r w:rsidR="00B6326D">
        <w:rPr>
          <w:rFonts w:ascii="Arial" w:hAnsi="Arial" w:cs="Arial"/>
          <w:color w:val="000000"/>
          <w:lang w:val="en-US"/>
        </w:rPr>
        <w:t xml:space="preserve"> </w:t>
      </w:r>
      <w:r w:rsidR="004A5844">
        <w:rPr>
          <w:rFonts w:ascii="Arial" w:hAnsi="Arial" w:cs="Arial"/>
          <w:color w:val="000000"/>
          <w:lang w:val="en-US"/>
        </w:rPr>
        <w:t>This amendment clarifies that the APHRC does not have to prove unauthorized administration, and the trainer is entitled to a due diligence defense, as they always were.</w:t>
      </w:r>
    </w:p>
    <w:p w14:paraId="5340755B" w14:textId="56705678" w:rsidR="00A30EB5" w:rsidRDefault="00A30EB5" w:rsidP="00FC4129">
      <w:pPr>
        <w:rPr>
          <w:rFonts w:ascii="Arial" w:hAnsi="Arial" w:cs="Arial"/>
          <w:color w:val="000000"/>
          <w:lang w:val="en-US"/>
        </w:rPr>
      </w:pPr>
    </w:p>
    <w:p w14:paraId="16C8244F" w14:textId="77777777" w:rsidR="00A30EB5" w:rsidRDefault="00A30EB5" w:rsidP="00FC4129">
      <w:pPr>
        <w:rPr>
          <w:rFonts w:ascii="Arial" w:hAnsi="Arial" w:cs="Arial"/>
          <w:color w:val="000000"/>
          <w:lang w:val="en-US"/>
        </w:rPr>
      </w:pPr>
    </w:p>
    <w:p w14:paraId="1BEF5677" w14:textId="77777777" w:rsidR="00A30EB5" w:rsidRDefault="00A30EB5" w:rsidP="00FC4129">
      <w:pPr>
        <w:rPr>
          <w:rFonts w:ascii="Arial" w:hAnsi="Arial" w:cs="Arial"/>
          <w:color w:val="000000"/>
          <w:lang w:val="en-US"/>
        </w:rPr>
      </w:pPr>
    </w:p>
    <w:p w14:paraId="2B2D8927" w14:textId="5E75B74E" w:rsidR="00FC4129" w:rsidRDefault="00B6326D" w:rsidP="00FC4129">
      <w:pPr>
        <w:rPr>
          <w:lang w:val="en-US"/>
        </w:rPr>
      </w:pPr>
      <w:r>
        <w:rPr>
          <w:rFonts w:ascii="Arial" w:hAnsi="Arial" w:cs="Arial"/>
          <w:color w:val="000000"/>
          <w:lang w:val="en-US"/>
        </w:rPr>
        <w:t xml:space="preserve">Old </w:t>
      </w:r>
      <w:r w:rsidR="00FC4129">
        <w:rPr>
          <w:rFonts w:ascii="Arial" w:hAnsi="Arial" w:cs="Arial"/>
          <w:color w:val="000000"/>
          <w:lang w:val="en-US"/>
        </w:rPr>
        <w:t>Rule 366(c) “The Trainer of Record of every or any racehorse must make every diligent effort to protect the racehorse from unauthorized administration of any drug or foreign substance or non-therapeutic medication product”.</w:t>
      </w:r>
    </w:p>
    <w:p w14:paraId="0CF35F8F" w14:textId="77777777" w:rsidR="00FC4129" w:rsidRDefault="00FC4129" w:rsidP="00FC4129">
      <w:pPr>
        <w:rPr>
          <w:lang w:val="en-US"/>
        </w:rPr>
      </w:pPr>
      <w:r>
        <w:rPr>
          <w:rFonts w:ascii="Arial" w:hAnsi="Arial" w:cs="Arial"/>
          <w:color w:val="000000"/>
          <w:lang w:val="en-US"/>
        </w:rPr>
        <w:t> </w:t>
      </w:r>
    </w:p>
    <w:p w14:paraId="6FA5A1E0" w14:textId="450CD849" w:rsidR="00FC4129" w:rsidRPr="00B6326D" w:rsidRDefault="00B6326D" w:rsidP="00FC4129">
      <w:pPr>
        <w:rPr>
          <w:color w:val="ED0000"/>
          <w:lang w:val="en-US"/>
        </w:rPr>
      </w:pPr>
      <w:r w:rsidRPr="00B6326D">
        <w:rPr>
          <w:rFonts w:ascii="Arial" w:hAnsi="Arial" w:cs="Arial"/>
          <w:color w:val="ED0000"/>
          <w:lang w:val="en-US"/>
        </w:rPr>
        <w:t>New Rule 366(c).</w:t>
      </w:r>
    </w:p>
    <w:p w14:paraId="403FFFAB" w14:textId="77777777" w:rsidR="00FC4129" w:rsidRDefault="00FC4129" w:rsidP="00FC4129">
      <w:pPr>
        <w:rPr>
          <w:lang w:val="en-US"/>
        </w:rPr>
      </w:pPr>
      <w:r>
        <w:rPr>
          <w:rFonts w:ascii="Arial" w:hAnsi="Arial" w:cs="Arial"/>
          <w:color w:val="000000"/>
          <w:lang w:val="en-US"/>
        </w:rPr>
        <w:t> </w:t>
      </w:r>
    </w:p>
    <w:p w14:paraId="72400F2C" w14:textId="7504F56B" w:rsidR="00FC4129" w:rsidRPr="00FC4129" w:rsidRDefault="00FC4129" w:rsidP="00FC4129">
      <w:pPr>
        <w:rPr>
          <w:color w:val="ED0000"/>
          <w:lang w:val="en-US"/>
        </w:rPr>
      </w:pPr>
      <w:r w:rsidRPr="00FC4129">
        <w:rPr>
          <w:rFonts w:ascii="Arial" w:hAnsi="Arial" w:cs="Arial"/>
          <w:color w:val="ED0000"/>
          <w:lang w:val="en-US"/>
        </w:rPr>
        <w:t xml:space="preserve"> “Unauthorized administration by the Trainer of Record shall be presumed in the case of a positive test under Rule 367.  The Trainer of Record may rebut the presumption of unauthorized administration by demonstrating on a balance of probabilities (s)he made every reasonable effort to comply with the obligations of Rule 122 and protect the racehorse from unauthorized administration”.</w:t>
      </w:r>
    </w:p>
    <w:p w14:paraId="1E92F2D6" w14:textId="77777777" w:rsidR="00FC4129" w:rsidRPr="00FC4129" w:rsidRDefault="00FC4129" w:rsidP="00FC4129">
      <w:pPr>
        <w:rPr>
          <w:color w:val="ED0000"/>
          <w:lang w:val="en-US"/>
        </w:rPr>
      </w:pPr>
      <w:r w:rsidRPr="00FC4129">
        <w:rPr>
          <w:rFonts w:ascii="Arial" w:hAnsi="Arial" w:cs="Arial"/>
          <w:color w:val="ED0000"/>
          <w:lang w:val="en-US"/>
        </w:rPr>
        <w:t> </w:t>
      </w:r>
    </w:p>
    <w:p w14:paraId="2102C5D0" w14:textId="77777777" w:rsidR="00DA2FDB" w:rsidRPr="00FC4129" w:rsidRDefault="00DA2FDB">
      <w:pPr>
        <w:rPr>
          <w:color w:val="ED0000"/>
          <w:lang w:val="en-US"/>
        </w:rPr>
      </w:pPr>
    </w:p>
    <w:sectPr w:rsidR="00DA2FDB" w:rsidRPr="00FC41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29"/>
    <w:rsid w:val="004A5844"/>
    <w:rsid w:val="00A30EB5"/>
    <w:rsid w:val="00B6326D"/>
    <w:rsid w:val="00C05105"/>
    <w:rsid w:val="00C77ED8"/>
    <w:rsid w:val="00DA2FDB"/>
    <w:rsid w:val="00FC4129"/>
    <w:rsid w:val="00FD36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EEDF"/>
  <w15:chartTrackingRefBased/>
  <w15:docId w15:val="{D4A9D95B-7AF4-49AC-8AE1-5CB57904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29"/>
    <w:pPr>
      <w:spacing w:after="0" w:line="240" w:lineRule="auto"/>
    </w:pPr>
    <w:rPr>
      <w:rFonts w:ascii="Calibri" w:hAnsi="Calibri" w:cs="Calibri"/>
      <w:kern w:val="0"/>
      <w:sz w:val="22"/>
      <w:szCs w:val="22"/>
      <w:lang w:eastAsia="en-CA"/>
      <w14:ligatures w14:val="none"/>
    </w:rPr>
  </w:style>
  <w:style w:type="paragraph" w:styleId="Heading1">
    <w:name w:val="heading 1"/>
    <w:basedOn w:val="Normal"/>
    <w:next w:val="Normal"/>
    <w:link w:val="Heading1Char"/>
    <w:uiPriority w:val="9"/>
    <w:qFormat/>
    <w:rsid w:val="00FC412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C412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C412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C412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FC412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FC412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FC412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FC4129"/>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FC4129"/>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1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1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1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1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1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129"/>
    <w:rPr>
      <w:rFonts w:eastAsiaTheme="majorEastAsia" w:cstheme="majorBidi"/>
      <w:color w:val="272727" w:themeColor="text1" w:themeTint="D8"/>
    </w:rPr>
  </w:style>
  <w:style w:type="paragraph" w:styleId="Title">
    <w:name w:val="Title"/>
    <w:basedOn w:val="Normal"/>
    <w:next w:val="Normal"/>
    <w:link w:val="TitleChar"/>
    <w:uiPriority w:val="10"/>
    <w:qFormat/>
    <w:rsid w:val="00FC412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C4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12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C4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129"/>
    <w:pPr>
      <w:spacing w:before="160" w:after="160" w:line="278" w:lineRule="auto"/>
      <w:jc w:val="center"/>
    </w:pPr>
    <w:rPr>
      <w:rFonts w:ascii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FC4129"/>
    <w:rPr>
      <w:i/>
      <w:iCs/>
      <w:color w:val="404040" w:themeColor="text1" w:themeTint="BF"/>
    </w:rPr>
  </w:style>
  <w:style w:type="paragraph" w:styleId="ListParagraph">
    <w:name w:val="List Paragraph"/>
    <w:basedOn w:val="Normal"/>
    <w:uiPriority w:val="34"/>
    <w:qFormat/>
    <w:rsid w:val="00FC4129"/>
    <w:pPr>
      <w:spacing w:after="160" w:line="278" w:lineRule="auto"/>
      <w:ind w:left="720"/>
      <w:contextualSpacing/>
    </w:pPr>
    <w:rPr>
      <w:rFonts w:ascii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FC4129"/>
    <w:rPr>
      <w:i/>
      <w:iCs/>
      <w:color w:val="0F4761" w:themeColor="accent1" w:themeShade="BF"/>
    </w:rPr>
  </w:style>
  <w:style w:type="paragraph" w:styleId="IntenseQuote">
    <w:name w:val="Intense Quote"/>
    <w:basedOn w:val="Normal"/>
    <w:next w:val="Normal"/>
    <w:link w:val="IntenseQuoteChar"/>
    <w:uiPriority w:val="30"/>
    <w:qFormat/>
    <w:rsid w:val="00FC412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FC4129"/>
    <w:rPr>
      <w:i/>
      <w:iCs/>
      <w:color w:val="0F4761" w:themeColor="accent1" w:themeShade="BF"/>
    </w:rPr>
  </w:style>
  <w:style w:type="character" w:styleId="IntenseReference">
    <w:name w:val="Intense Reference"/>
    <w:basedOn w:val="DefaultParagraphFont"/>
    <w:uiPriority w:val="32"/>
    <w:qFormat/>
    <w:rsid w:val="00FC4129"/>
    <w:rPr>
      <w:b/>
      <w:bCs/>
      <w:smallCaps/>
      <w:color w:val="0F4761" w:themeColor="accent1" w:themeShade="BF"/>
      <w:spacing w:val="5"/>
    </w:rPr>
  </w:style>
  <w:style w:type="character" w:styleId="Hyperlink">
    <w:name w:val="Hyperlink"/>
    <w:basedOn w:val="DefaultParagraphFont"/>
    <w:uiPriority w:val="99"/>
    <w:semiHidden/>
    <w:unhideWhenUsed/>
    <w:rsid w:val="00FC41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22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Murphy</dc:creator>
  <cp:keywords/>
  <dc:description/>
  <cp:lastModifiedBy>Mitch Murphy</cp:lastModifiedBy>
  <cp:revision>3</cp:revision>
  <dcterms:created xsi:type="dcterms:W3CDTF">2024-09-16T12:31:00Z</dcterms:created>
  <dcterms:modified xsi:type="dcterms:W3CDTF">2024-09-16T13:00:00Z</dcterms:modified>
</cp:coreProperties>
</file>